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89" w:rsidRDefault="00FF1B89" w:rsidP="00F91ACC">
      <w:pPr>
        <w:shd w:val="clear" w:color="auto" w:fill="9CC2E5" w:themeFill="accent1" w:themeFillTint="99"/>
        <w:bidi/>
        <w:jc w:val="center"/>
        <w:rPr>
          <w:b/>
          <w:bCs/>
          <w:sz w:val="56"/>
          <w:szCs w:val="56"/>
          <w:rtl/>
          <w:lang w:val="fr-MA" w:bidi="ar-MA"/>
        </w:rPr>
      </w:pPr>
      <w:r w:rsidRPr="00FF1B89">
        <w:rPr>
          <w:rFonts w:hint="cs"/>
          <w:b/>
          <w:bCs/>
          <w:sz w:val="56"/>
          <w:szCs w:val="56"/>
          <w:rtl/>
          <w:lang w:val="fr-MA" w:bidi="ar-MA"/>
        </w:rPr>
        <w:t>بطاقة الورش</w:t>
      </w:r>
    </w:p>
    <w:p w:rsidR="00FF1B89" w:rsidRDefault="00FF1B89" w:rsidP="00F91ACC">
      <w:pPr>
        <w:bidi/>
        <w:jc w:val="center"/>
        <w:rPr>
          <w:b/>
          <w:bCs/>
          <w:sz w:val="56"/>
          <w:szCs w:val="56"/>
          <w:rtl/>
          <w:lang w:val="fr-MA"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DB70E5" w:rsidTr="00A91D84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تسمية الورش</w:t>
            </w:r>
          </w:p>
        </w:tc>
      </w:tr>
      <w:tr w:rsidR="00DB70E5" w:rsidTr="00ED6BC0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F91ACC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هدف الورش (</w:t>
            </w:r>
            <w:r w:rsidR="00DB70E5" w:rsidRPr="00FF1B89">
              <w:rPr>
                <w:rFonts w:hint="cs"/>
                <w:b/>
                <w:bCs/>
                <w:sz w:val="28"/>
                <w:szCs w:val="28"/>
                <w:rtl/>
              </w:rPr>
              <w:t>الأشغال المتوقعة)</w:t>
            </w:r>
          </w:p>
        </w:tc>
      </w:tr>
      <w:tr w:rsidR="00DB70E5" w:rsidTr="00827681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مكان التنفيذ</w:t>
            </w:r>
          </w:p>
        </w:tc>
      </w:tr>
      <w:tr w:rsidR="00DB70E5" w:rsidTr="00CC210F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F91ACC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مدة الورش (بالأ</w:t>
            </w:r>
            <w:r w:rsidR="00DB70E5" w:rsidRPr="00FF1B89">
              <w:rPr>
                <w:rFonts w:hint="cs"/>
                <w:b/>
                <w:bCs/>
                <w:sz w:val="28"/>
                <w:szCs w:val="28"/>
                <w:rtl/>
              </w:rPr>
              <w:t>شهر)</w:t>
            </w:r>
          </w:p>
        </w:tc>
      </w:tr>
      <w:tr w:rsidR="00DB70E5" w:rsidTr="00FE2A76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تاريخ البدء المتوقع</w:t>
            </w:r>
          </w:p>
        </w:tc>
      </w:tr>
      <w:tr w:rsidR="00DB70E5" w:rsidTr="00BD0023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تاريخ الانتهاء المتوقع</w:t>
            </w:r>
          </w:p>
        </w:tc>
      </w:tr>
      <w:tr w:rsidR="00DB70E5" w:rsidTr="00F52AC1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عدد المرشحين المتوقع ادماجهم</w:t>
            </w:r>
          </w:p>
        </w:tc>
      </w:tr>
      <w:tr w:rsidR="00DB70E5" w:rsidTr="000E1FCD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ساعات العمل بالورش</w:t>
            </w:r>
          </w:p>
        </w:tc>
      </w:tr>
      <w:tr w:rsidR="00DB70E5" w:rsidTr="00B8733E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المعدات والتجهيزات والمواد الأولية اللازمة لإنجاز الورش</w:t>
            </w:r>
          </w:p>
        </w:tc>
      </w:tr>
      <w:tr w:rsidR="00FF1B89" w:rsidTr="00FF1B89">
        <w:trPr>
          <w:trHeight w:val="680"/>
        </w:trPr>
        <w:tc>
          <w:tcPr>
            <w:tcW w:w="3132" w:type="dxa"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نوعية المساهمة</w:t>
            </w: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المساهم</w:t>
            </w:r>
          </w:p>
        </w:tc>
        <w:tc>
          <w:tcPr>
            <w:tcW w:w="3132" w:type="dxa"/>
            <w:vMerge w:val="restart"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مساهمة المصالح الخارجية للقطاعات الوزارية المعنية والجماعات الترابية</w:t>
            </w:r>
          </w:p>
        </w:tc>
      </w:tr>
      <w:tr w:rsidR="00FF1B89" w:rsidTr="00FF1B89">
        <w:trPr>
          <w:trHeight w:val="680"/>
        </w:trPr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Merge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1B89" w:rsidTr="00FF1B89">
        <w:trPr>
          <w:trHeight w:val="680"/>
        </w:trPr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Merge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1B89" w:rsidTr="00FF1B89">
        <w:trPr>
          <w:trHeight w:val="680"/>
        </w:trPr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Merge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1B89" w:rsidTr="00FF1B89">
        <w:trPr>
          <w:trHeight w:val="680"/>
        </w:trPr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Align w:val="center"/>
          </w:tcPr>
          <w:p w:rsidR="00FF1B89" w:rsidRDefault="00FF1B89" w:rsidP="00F91ACC">
            <w:pPr>
              <w:bidi/>
              <w:jc w:val="right"/>
            </w:pPr>
          </w:p>
        </w:tc>
        <w:tc>
          <w:tcPr>
            <w:tcW w:w="3132" w:type="dxa"/>
            <w:vMerge/>
            <w:shd w:val="clear" w:color="auto" w:fill="BDD6EE" w:themeFill="accent1" w:themeFillTint="66"/>
            <w:vAlign w:val="center"/>
          </w:tcPr>
          <w:p w:rsidR="00FF1B89" w:rsidRPr="00FF1B89" w:rsidRDefault="00FF1B89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70E5" w:rsidTr="00920FED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الحد الادنى للمؤطرين</w:t>
            </w:r>
          </w:p>
        </w:tc>
      </w:tr>
      <w:tr w:rsidR="00DB70E5" w:rsidTr="00A84A1D">
        <w:trPr>
          <w:trHeight w:val="680"/>
        </w:trPr>
        <w:tc>
          <w:tcPr>
            <w:tcW w:w="6264" w:type="dxa"/>
            <w:gridSpan w:val="2"/>
            <w:vAlign w:val="center"/>
          </w:tcPr>
          <w:p w:rsidR="00DB70E5" w:rsidRDefault="00DB70E5" w:rsidP="00F91ACC">
            <w:pPr>
              <w:bidi/>
              <w:jc w:val="right"/>
            </w:pPr>
          </w:p>
        </w:tc>
        <w:tc>
          <w:tcPr>
            <w:tcW w:w="3132" w:type="dxa"/>
            <w:shd w:val="clear" w:color="auto" w:fill="BDD6EE" w:themeFill="accent1" w:themeFillTint="66"/>
            <w:vAlign w:val="center"/>
          </w:tcPr>
          <w:p w:rsidR="00DB70E5" w:rsidRPr="00FF1B89" w:rsidRDefault="00DB70E5" w:rsidP="00F91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F91ACC">
              <w:rPr>
                <w:rFonts w:hint="cs"/>
                <w:b/>
                <w:bCs/>
                <w:sz w:val="28"/>
                <w:szCs w:val="28"/>
                <w:rtl/>
              </w:rPr>
              <w:t>يزانية  الاضافية لانجاز الورش (</w:t>
            </w:r>
            <w:bookmarkStart w:id="0" w:name="_GoBack"/>
            <w:bookmarkEnd w:id="0"/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 xml:space="preserve">معدات وتجهيزات اضافية </w:t>
            </w:r>
            <w:r w:rsidRPr="00FF1B89">
              <w:rPr>
                <w:b/>
                <w:bCs/>
                <w:sz w:val="28"/>
                <w:szCs w:val="28"/>
                <w:rtl/>
              </w:rPr>
              <w:t>–</w:t>
            </w:r>
            <w:r w:rsidRPr="00FF1B89">
              <w:rPr>
                <w:rFonts w:hint="cs"/>
                <w:b/>
                <w:bCs/>
                <w:sz w:val="28"/>
                <w:szCs w:val="28"/>
                <w:rtl/>
              </w:rPr>
              <w:t xml:space="preserve"> مواد أولية ...)</w:t>
            </w:r>
          </w:p>
        </w:tc>
      </w:tr>
    </w:tbl>
    <w:p w:rsidR="00F8045D" w:rsidRPr="00FF1B89" w:rsidRDefault="00F91ACC" w:rsidP="00FF1B89">
      <w:pPr>
        <w:jc w:val="center"/>
        <w:rPr>
          <w:sz w:val="56"/>
          <w:szCs w:val="56"/>
          <w:rtl/>
          <w:lang w:val="fr-MA" w:bidi="ar-MA"/>
        </w:rPr>
      </w:pPr>
    </w:p>
    <w:sectPr w:rsidR="00F8045D" w:rsidRPr="00FF1B89" w:rsidSect="00FF1B89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C9"/>
    <w:rsid w:val="002E288B"/>
    <w:rsid w:val="00DB70E5"/>
    <w:rsid w:val="00DE65C9"/>
    <w:rsid w:val="00EC599C"/>
    <w:rsid w:val="00F91AC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8C63"/>
  <w15:chartTrackingRefBased/>
  <w15:docId w15:val="{32F7B0C2-5815-49B8-906F-34C06947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elbellaoui</dc:creator>
  <cp:keywords/>
  <dc:description/>
  <cp:lastModifiedBy>aziz</cp:lastModifiedBy>
  <cp:revision>3</cp:revision>
  <dcterms:created xsi:type="dcterms:W3CDTF">2022-02-21T10:22:00Z</dcterms:created>
  <dcterms:modified xsi:type="dcterms:W3CDTF">2023-04-05T10:12:00Z</dcterms:modified>
</cp:coreProperties>
</file>